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DocTitle"/>
      </w:pPr>
      <w:r>
        <w:rPr>
          <w:rFonts w:ascii="Times New Roman" w:hAnsi="Times New Roman" w:eastAsia="Times New Roman"/>
          <w:sz w:val="28"/>
        </w:rPr>
        <w:t>СВЕДЕНИЯ О МЕДИЦИНСКИХ РАБОТНИКАХ</w:t>
      </w:r>
    </w:p>
    <w:p>
      <w:pPr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ООО «Глазная поликлиника «Леге Артис»</w:t>
      </w:r>
    </w:p>
    <w:p>
      <w:pPr>
        <w:ind w:firstLine="0"/>
      </w:pPr>
      <w:r>
        <w:rPr>
          <w:rFonts w:ascii="Times New Roman" w:hAnsi="Times New Roman" w:eastAsia="Times New Roman"/>
          <w:i/>
          <w:sz w:val="28"/>
        </w:rPr>
        <w:t>Дата актуализации сведений: 25.08.2026</w:t>
      </w:r>
    </w:p>
    <w:p>
      <w:r>
        <w:rPr>
          <w:rFonts w:ascii="Times New Roman" w:hAnsi="Times New Roman" w:eastAsia="Times New Roman"/>
          <w:sz w:val="28"/>
        </w:rPr>
        <w:t>Настоящие сведения предназначены для размещения на официальном сайте медицинской организации и заполняются в отношении медицинских работников, участвующих в предоставлении медицинских услуг. Информация должна соответствовать документам об образовании, квалификации, аккредитации специалиста и утверждённому графику работы.</w:t>
      </w:r>
    </w:p>
    <w:p>
      <w:pPr>
        <w:pStyle w:val="SectionHeading"/>
      </w:pPr>
      <w:r>
        <w:rPr>
          <w:rFonts w:ascii="Times New Roman" w:hAnsi="Times New Roman" w:eastAsia="Times New Roman"/>
          <w:sz w:val="28"/>
        </w:rPr>
        <w:t>1. Сведения о медицинских работниках</w:t>
      </w:r>
    </w:p>
    <w:p>
      <w:pPr>
        <w:sectPr>
          <w:footerReference w:type="default" r:id="rId9"/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</w:tblGrid>
      <w:tr>
        <w:trPr>
          <w:tblHeader w:val="true"/>
        </w:trPr>
        <w:tc>
          <w:tcPr>
            <w:tcW w:type="dxa" w:w="454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№</w:t>
            </w:r>
          </w:p>
        </w:tc>
        <w:tc>
          <w:tcPr>
            <w:tcW w:type="dxa" w:w="2268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Ф.И.О. медицинского работника</w:t>
            </w:r>
          </w:p>
        </w:tc>
        <w:tc>
          <w:tcPr>
            <w:tcW w:type="dxa" w:w="1814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Должность</w:t>
            </w:r>
          </w:p>
        </w:tc>
        <w:tc>
          <w:tcPr>
            <w:tcW w:type="dxa" w:w="3969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Сведения об образовании и квалификации</w:t>
            </w:r>
          </w:p>
        </w:tc>
        <w:tc>
          <w:tcPr>
            <w:tcW w:type="dxa" w:w="3118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Специальность и аккредитация</w:t>
            </w:r>
          </w:p>
        </w:tc>
        <w:tc>
          <w:tcPr>
            <w:tcW w:type="dxa" w:w="2835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График работы и часы приёма</w:t>
            </w:r>
          </w:p>
        </w:tc>
      </w:tr>
      <w:tr>
        <w:tc>
          <w:tcPr>
            <w:tcW w:type="dxa" w:w="454"/>
            <w:vAlign w:val="center"/>
          </w:tcPr>
          <w:p>
            <w:r>
              <w:t>1</w:t>
            </w:r>
          </w:p>
        </w:tc>
        <w:tc>
          <w:tcPr>
            <w:tcW w:type="dxa" w:w="2268"/>
            <w:vAlign w:val="center"/>
          </w:tcPr>
          <w:p>
            <w:r>
              <w:t>Темиров Николай Эдуардович</w:t>
            </w:r>
          </w:p>
        </w:tc>
        <w:tc>
          <w:tcPr>
            <w:tcW w:type="dxa" w:w="1814"/>
            <w:vAlign w:val="center"/>
          </w:tcPr>
          <w:p>
            <w:r>
              <w:t>Главный врач, врач-офтальмохирург</w:t>
            </w:r>
          </w:p>
        </w:tc>
        <w:tc>
          <w:tcPr>
            <w:tcW w:type="dxa" w:w="3969"/>
            <w:vAlign w:val="center"/>
          </w:tcPr>
          <w:p>
            <w:r>
              <w:t>доктор медицинских наук, профессор; сведения об образовании и квалификации — на персональной странице специалиста</w:t>
            </w:r>
          </w:p>
        </w:tc>
        <w:tc>
          <w:tcPr>
            <w:tcW w:type="dxa" w:w="3118"/>
            <w:vAlign w:val="center"/>
          </w:tcPr>
          <w:p>
            <w:r>
              <w:t>офтальмология; допуск к медицинской деятельности подтверждается в установленном порядке</w:t>
            </w:r>
          </w:p>
        </w:tc>
        <w:tc>
          <w:tcPr>
            <w:tcW w:type="dxa" w:w="2835"/>
            <w:vAlign w:val="center"/>
          </w:tcPr>
          <w:p>
            <w:r>
              <w:t>приём по предварительной записи; центр, ул. Суворова, 39</w:t>
            </w:r>
          </w:p>
        </w:tc>
      </w:tr>
      <w:tr>
        <w:tc>
          <w:tcPr>
            <w:tcW w:type="dxa" w:w="454"/>
            <w:vAlign w:val="center"/>
          </w:tcPr>
          <w:p>
            <w:r>
              <w:t>2</w:t>
            </w:r>
          </w:p>
        </w:tc>
        <w:tc>
          <w:tcPr>
            <w:tcW w:type="dxa" w:w="2268"/>
            <w:vAlign w:val="center"/>
          </w:tcPr>
          <w:p>
            <w:r>
              <w:t>Николаева Елена Евгеньевна</w:t>
            </w:r>
          </w:p>
        </w:tc>
        <w:tc>
          <w:tcPr>
            <w:tcW w:type="dxa" w:w="1814"/>
            <w:vAlign w:val="center"/>
          </w:tcPr>
          <w:p>
            <w:r>
              <w:t>Директор, врач-офтальмолог</w:t>
            </w:r>
          </w:p>
        </w:tc>
        <w:tc>
          <w:tcPr>
            <w:tcW w:type="dxa" w:w="3969"/>
            <w:vAlign w:val="center"/>
          </w:tcPr>
          <w:p>
            <w:r>
              <w:t>кандидат медицинских наук; сведения об образовании и квалификации — на персональной странице специалиста</w:t>
            </w:r>
          </w:p>
        </w:tc>
        <w:tc>
          <w:tcPr>
            <w:tcW w:type="dxa" w:w="3118"/>
            <w:vAlign w:val="center"/>
          </w:tcPr>
          <w:p>
            <w:r>
              <w:t>офтальмология; допуск к медицинской деятельности подтверждается в установленном порядке</w:t>
            </w:r>
          </w:p>
        </w:tc>
        <w:tc>
          <w:tcPr>
            <w:tcW w:type="dxa" w:w="2835"/>
            <w:vAlign w:val="center"/>
          </w:tcPr>
          <w:p>
            <w:r>
              <w:t>приём по предварительной записи; центр, ул. Суворова, 39</w:t>
            </w:r>
          </w:p>
        </w:tc>
      </w:tr>
      <w:tr>
        <w:tc>
          <w:tcPr>
            <w:tcW w:type="dxa" w:w="45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3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</w:tr>
      <w:tr>
        <w:tc>
          <w:tcPr>
            <w:tcW w:type="dxa" w:w="45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4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</w:tr>
      <w:tr>
        <w:tc>
          <w:tcPr>
            <w:tcW w:type="dxa" w:w="45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5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</w:tr>
      <w:tr>
        <w:tc>
          <w:tcPr>
            <w:tcW w:type="dxa" w:w="45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6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</w:r>
          </w:p>
        </w:tc>
      </w:tr>
    </w:tbl>
    <w:p>
      <w:pPr>
        <w:sectPr>
          <w:pgSz w:w="15840" w:h="12240" w:orient="landscape"/>
          <w:pgMar w:top="850" w:right="850" w:bottom="850" w:left="850" w:header="720" w:footer="720" w:gutter="0"/>
          <w:cols w:space="720"/>
          <w:docGrid w:linePitch="360"/>
        </w:sectPr>
      </w:pPr>
    </w:p>
    <w:p>
      <w:pPr>
        <w:pStyle w:val="SectionHeading"/>
      </w:pPr>
      <w:r>
        <w:rPr>
          <w:rFonts w:ascii="Times New Roman" w:hAnsi="Times New Roman" w:eastAsia="Times New Roman"/>
          <w:sz w:val="28"/>
        </w:rPr>
        <w:t>2. Дополнительная информация для размещения на персональной странице специалиста</w:t>
      </w:r>
    </w:p>
    <w:p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Фотография медицинского работника — при наличии письменного согласия на её размещение.</w:t>
      </w:r>
    </w:p>
    <w:p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Сведения о категории, учёной степени, учёном звании — при наличии и при подтверждении соответствующими документами.</w:t>
      </w:r>
    </w:p>
    <w:p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Сведения о повышении квалификации и дополнительном профессиональном образовании, относящиеся к выполняемой работе.</w:t>
      </w:r>
    </w:p>
    <w:p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Перечень направлений приёма и медицинских услуг, оказываемых специалистом, без использования недостоверных или неподтверждённых характеристик.</w:t>
      </w:r>
    </w:p>
    <w:p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Ссылка или способ записи на приём, адрес подразделения, в котором ведётся приём.</w:t>
      </w:r>
    </w:p>
    <w:p>
      <w:pPr>
        <w:pStyle w:val="SectionHeading"/>
      </w:pPr>
      <w:r>
        <w:rPr>
          <w:rFonts w:ascii="Times New Roman" w:hAnsi="Times New Roman" w:eastAsia="Times New Roman"/>
          <w:sz w:val="28"/>
        </w:rPr>
        <w:t>3. Требования к заполнению и актуализации</w:t>
      </w:r>
    </w:p>
    <w:p>
      <w:pPr>
        <w:ind w:firstLine="0"/>
      </w:pPr>
      <w:r>
        <w:rPr>
          <w:rFonts w:ascii="Times New Roman" w:hAnsi="Times New Roman" w:eastAsia="Times New Roman"/>
          <w:sz w:val="28"/>
        </w:rPr>
        <w:t>1. Фамилия, имя и отчество указываются полностью, если иное не предусмотрено документами работника.</w:t>
      </w:r>
    </w:p>
    <w:p>
      <w:pPr>
        <w:ind w:firstLine="0"/>
      </w:pPr>
      <w:r>
        <w:rPr>
          <w:rFonts w:ascii="Times New Roman" w:hAnsi="Times New Roman" w:eastAsia="Times New Roman"/>
          <w:sz w:val="28"/>
        </w:rPr>
        <w:t>2. Наименование должности указывается в соответствии со штатным расписанием и трудовым договором.</w:t>
      </w:r>
    </w:p>
    <w:p>
      <w:pPr>
        <w:ind w:firstLine="0"/>
      </w:pPr>
      <w:r>
        <w:rPr>
          <w:rFonts w:ascii="Times New Roman" w:hAnsi="Times New Roman" w:eastAsia="Times New Roman"/>
          <w:sz w:val="28"/>
        </w:rPr>
        <w:t>3. Сведения об образовании и аккредитации переносятся из подтверждающих документов и федерального регистра медицинских работников либо иных официальных источников, используемых медицинской организацией.</w:t>
      </w:r>
    </w:p>
    <w:p>
      <w:pPr>
        <w:ind w:firstLine="0"/>
      </w:pPr>
      <w:r>
        <w:rPr>
          <w:rFonts w:ascii="Times New Roman" w:hAnsi="Times New Roman" w:eastAsia="Times New Roman"/>
          <w:sz w:val="28"/>
        </w:rPr>
        <w:t>4. После изменения графика работы, должности, специальности или статуса аккредитации сведения на сайте должны быть своевременно обновлены.</w:t>
      </w:r>
    </w:p>
    <w:p>
      <w:pPr>
        <w:ind w:firstLine="0"/>
      </w:pPr>
      <w:r>
        <w:rPr>
          <w:rFonts w:ascii="Times New Roman" w:hAnsi="Times New Roman" w:eastAsia="Times New Roman"/>
          <w:sz w:val="28"/>
        </w:rPr>
        <w:t>5. Не размещаются паспортные данные, адрес места жительства, номер телефона работника, СНИЛС, копии дипломов, свидетельств и иные избыточные персональные данные, если для их размещения отсутствуют законные основания и отдельное согласие.</w:t>
      </w:r>
    </w:p>
    <w:p>
      <w:pPr>
        <w:ind w:firstLine="0"/>
      </w:pPr>
      <w:r>
        <w:rPr>
          <w:rFonts w:ascii="Times New Roman" w:hAnsi="Times New Roman" w:eastAsia="Times New Roman"/>
          <w:sz w:val="28"/>
        </w:rPr>
        <w:t>6. Ответственное лицо проводит проверку актуальности сведений не реже одного раза в квартал и при каждом кадровом изменении.</w:t>
      </w:r>
    </w:p>
    <w:p>
      <w:pPr>
        <w:pStyle w:val="SectionHeading"/>
      </w:pPr>
      <w:r>
        <w:rPr>
          <w:rFonts w:ascii="Times New Roman" w:hAnsi="Times New Roman" w:eastAsia="Times New Roman"/>
          <w:sz w:val="28"/>
        </w:rPr>
        <w:t>4. Ответственное лицо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Должность</w:t>
            </w:r>
          </w:p>
        </w:tc>
        <w:tc>
          <w:tcPr>
            <w:tcW w:type="dxa" w:w="7070"/>
            <w:vAlign w:val="center"/>
          </w:tcPr>
          <w:p>
            <w:r>
              <w:t>Ответственный за актуализацию сведений на сайте</w:t>
            </w:r>
          </w:p>
        </w:tc>
      </w:tr>
      <w:tr>
        <w:tc>
          <w:tcPr>
            <w:tcW w:type="dxa" w:w="7070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Ф.И.О.</w:t>
            </w:r>
          </w:p>
        </w:tc>
        <w:tc>
          <w:tcPr>
            <w:tcW w:type="dxa" w:w="7070"/>
            <w:vAlign w:val="center"/>
          </w:tcPr>
          <w:p>
            <w:r>
              <w:t>Николаева Елена Евгеньевна</w:t>
            </w:r>
          </w:p>
        </w:tc>
      </w:tr>
      <w:tr>
        <w:tc>
          <w:tcPr>
            <w:tcW w:type="dxa" w:w="7070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Контактный телефон / электронная почта</w:t>
            </w:r>
          </w:p>
        </w:tc>
        <w:tc>
          <w:tcPr>
            <w:tcW w:type="dxa" w:w="7070"/>
            <w:vAlign w:val="center"/>
          </w:tcPr>
          <w:p>
            <w:r>
              <w:t>8 (863) 333-02-14 / office@legeartis-don.ru</w:t>
            </w:r>
          </w:p>
        </w:tc>
      </w:tr>
      <w:tr>
        <w:tc>
          <w:tcPr>
            <w:tcW w:type="dxa" w:w="7070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8"/>
              </w:rPr>
              <w:t>Дата последней проверки сведений</w:t>
            </w:r>
          </w:p>
        </w:tc>
        <w:tc>
          <w:tcPr>
            <w:tcW w:type="dxa" w:w="7070"/>
            <w:vAlign w:val="center"/>
          </w:tcPr>
          <w:p>
            <w:r>
              <w:t>25.08.2026</w:t>
            </w:r>
          </w:p>
        </w:tc>
      </w:tr>
    </w:tbl>
    <w:sectPr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  <w:ind w:firstLine="709"/>
      <w:jc w:val="both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after="120"/>
      <w:jc w:val="center"/>
    </w:pPr>
    <w:rPr>
      <w:rFonts w:ascii="Times New Roman" w:hAnsi="Times New Roman" w:eastAsia="Times New Roman"/>
      <w:b/>
      <w:sz w:val="32"/>
    </w:rPr>
  </w:style>
  <w:style w:type="paragraph" w:customStyle="1" w:styleId="SectionHeading">
    <w:name w:val="SectionHeading"/>
    <w:pPr>
      <w:spacing w:after="120"/>
      <w:jc w:val="left"/>
    </w:pPr>
    <w:rPr>
      <w:rFonts w:ascii="Times New Roman" w:hAnsi="Times New Roman" w:eastAsia="Times New Roman"/>
      <w:b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медицинских работниках</dc:title>
  <dc:subject>Документ ООО «Глазная поликлиника «Леге Артис»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